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824705" w:rsidRDefault="009B0F93">
      <w:pPr>
        <w:rPr>
          <w:color w:val="000000"/>
        </w:rPr>
      </w:pPr>
    </w:p>
    <w:p w:rsidR="000660B7" w:rsidRPr="00000A6E" w:rsidRDefault="0014267B" w:rsidP="00000A6E">
      <w:pPr>
        <w:rPr>
          <w:b/>
          <w:bCs/>
        </w:rPr>
      </w:pPr>
      <w:r>
        <w:rPr>
          <w:b/>
          <w:bCs/>
          <w:color w:val="000000"/>
        </w:rPr>
        <w:t>RESOLUÇÃO CSDP Nº 196, DE 21</w:t>
      </w:r>
      <w:r w:rsidR="00DC17D3" w:rsidRPr="00491D44">
        <w:rPr>
          <w:b/>
          <w:bCs/>
          <w:color w:val="000000"/>
        </w:rPr>
        <w:t xml:space="preserve"> DE </w:t>
      </w:r>
      <w:r w:rsidR="00C36E5F" w:rsidRPr="00491D44">
        <w:rPr>
          <w:b/>
          <w:bCs/>
          <w:color w:val="000000"/>
        </w:rPr>
        <w:t>AGOSTO</w:t>
      </w:r>
      <w:r w:rsidR="00DC17D3" w:rsidRPr="00491D44">
        <w:rPr>
          <w:b/>
          <w:bCs/>
          <w:color w:val="000000"/>
        </w:rPr>
        <w:t xml:space="preserve"> DE 2017.</w:t>
      </w:r>
    </w:p>
    <w:p w:rsidR="00000A6E" w:rsidRDefault="00000A6E" w:rsidP="0015147C">
      <w:pPr>
        <w:ind w:left="4536"/>
        <w:jc w:val="both"/>
      </w:pPr>
    </w:p>
    <w:p w:rsidR="00C36E5F" w:rsidRDefault="00C36E5F" w:rsidP="0015147C">
      <w:pPr>
        <w:ind w:left="4536"/>
        <w:jc w:val="both"/>
      </w:pPr>
      <w:r>
        <w:t>Aprova</w:t>
      </w:r>
      <w:r w:rsidR="0014267B">
        <w:t xml:space="preserve"> 2</w:t>
      </w:r>
      <w:r w:rsidR="0015147C">
        <w:t xml:space="preserve"> (</w:t>
      </w:r>
      <w:r w:rsidR="003C0F42">
        <w:t>dois</w:t>
      </w:r>
      <w:r w:rsidR="0015147C">
        <w:t>)</w:t>
      </w:r>
      <w:r w:rsidR="00491D44">
        <w:t xml:space="preserve"> e</w:t>
      </w:r>
      <w:r>
        <w:t>nunciado</w:t>
      </w:r>
      <w:r w:rsidR="0015147C">
        <w:t xml:space="preserve">s para a área </w:t>
      </w:r>
      <w:r w:rsidR="0014267B">
        <w:t>criminal</w:t>
      </w:r>
      <w:r>
        <w:t>, no âmbito da Defensoria Pública do Estado do Pará.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 xml:space="preserve">O CONSELHO SUPERIOR DA DEFENSORIA PÚBLICA DO ESTADO DO PARÁ, no uso de suas atribuições que lhe confere a Lei Complementar nº 054, de 07 de fevereiro de 2006; 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CONSIDERANDO o disposto no art. 10, caput, da Lei Complementar Estadual n°. 054, de 07 de fevereiro de 2006;</w:t>
      </w:r>
      <w:r w:rsidR="009C0247">
        <w:t xml:space="preserve"> 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 xml:space="preserve">CONSIDERANDO </w:t>
      </w:r>
      <w:r w:rsidR="00B63183">
        <w:t>que compete a este Egrégio colegiado</w:t>
      </w:r>
      <w:r w:rsidR="00B63183" w:rsidRPr="00B63183">
        <w:t xml:space="preserve"> editar enunciados, de natureza não vinculante, que visem o aprimoramento e a uniformização da atuação funcional dos membros da Defensoria Pública</w:t>
      </w:r>
      <w:r w:rsidR="003C0F42">
        <w:t xml:space="preserve">, conforme o Art. 15, </w:t>
      </w:r>
      <w:r w:rsidR="003C0F42" w:rsidRPr="00B63183">
        <w:t>XL</w:t>
      </w:r>
      <w:r w:rsidR="003C0F42">
        <w:t>, do Regimento Interno do Conselho Superior</w:t>
      </w:r>
      <w:r w:rsidR="00B63183">
        <w:t>;</w:t>
      </w:r>
    </w:p>
    <w:p w:rsidR="0015147C" w:rsidRDefault="0015147C" w:rsidP="00C36E5F">
      <w:pPr>
        <w:jc w:val="both"/>
      </w:pPr>
    </w:p>
    <w:p w:rsidR="0015147C" w:rsidRDefault="0015147C" w:rsidP="00C36E5F">
      <w:pPr>
        <w:jc w:val="both"/>
      </w:pPr>
      <w:r>
        <w:t>CONSIDERAND</w:t>
      </w:r>
      <w:r w:rsidR="00B63183">
        <w:t xml:space="preserve">O as </w:t>
      </w:r>
      <w:r w:rsidR="004310BC">
        <w:t>sugestões de enunciado</w:t>
      </w:r>
      <w:bookmarkStart w:id="0" w:name="_GoBack"/>
      <w:bookmarkEnd w:id="0"/>
      <w:r w:rsidR="00B63183">
        <w:t xml:space="preserve"> elaboradas no encontro do Curso de Formação de Defensores Públicos Substitutos</w:t>
      </w:r>
      <w:r>
        <w:t xml:space="preserve"> </w:t>
      </w:r>
      <w:r w:rsidR="00B63183">
        <w:t>realizado em 30</w:t>
      </w:r>
      <w:r>
        <w:t xml:space="preserve"> de março de 2017;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CONSIDERANDO a deliberação do Egrégio Conselho Super</w:t>
      </w:r>
      <w:r w:rsidR="00B63183">
        <w:t>ior da Defensoria Pública na 148</w:t>
      </w:r>
      <w:r>
        <w:t>ª sessã</w:t>
      </w:r>
      <w:r w:rsidR="00B63183">
        <w:t>o ordinária, realizada no dia 21</w:t>
      </w:r>
      <w:r>
        <w:t xml:space="preserve"> de </w:t>
      </w:r>
      <w:r w:rsidR="0015147C">
        <w:t>agosto de 2017</w:t>
      </w:r>
      <w:r>
        <w:t>;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RESOLVE: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Art. 1° Aprovar</w:t>
      </w:r>
      <w:r w:rsidR="00B63183">
        <w:t xml:space="preserve"> 2</w:t>
      </w:r>
      <w:r w:rsidR="0015147C">
        <w:t xml:space="preserve"> (</w:t>
      </w:r>
      <w:r w:rsidR="00B63183">
        <w:t>dois</w:t>
      </w:r>
      <w:r w:rsidR="0015147C">
        <w:t>)</w:t>
      </w:r>
      <w:r w:rsidR="00491D44">
        <w:t xml:space="preserve"> e</w:t>
      </w:r>
      <w:r>
        <w:t>nunciado</w:t>
      </w:r>
      <w:r w:rsidR="0015147C">
        <w:t xml:space="preserve">s para a área </w:t>
      </w:r>
      <w:r w:rsidR="00B63183">
        <w:t>criminal</w:t>
      </w:r>
      <w:r>
        <w:t xml:space="preserve"> no âmbito da Defensoria Pública do Estado do Pará, com a seguinte redação:</w:t>
      </w:r>
    </w:p>
    <w:p w:rsidR="00C36E5F" w:rsidRDefault="00C36E5F" w:rsidP="00C36E5F">
      <w:pPr>
        <w:jc w:val="both"/>
      </w:pPr>
    </w:p>
    <w:p w:rsidR="00B63183" w:rsidRPr="00B63183" w:rsidRDefault="00B63183" w:rsidP="00B63183">
      <w:pPr>
        <w:ind w:left="2124"/>
        <w:jc w:val="both"/>
        <w:rPr>
          <w:b/>
        </w:rPr>
      </w:pPr>
      <w:r w:rsidRPr="00B63183">
        <w:rPr>
          <w:b/>
          <w:u w:val="single"/>
        </w:rPr>
        <w:t>Enunciado 01</w:t>
      </w:r>
      <w:r w:rsidRPr="00B63183">
        <w:rPr>
          <w:b/>
        </w:rPr>
        <w:t xml:space="preserve"> – Ementa. Roubo majorado pelo emprego de arma. Arma não apreendida. Necessidade de apreensão e perícia do objeto, para incidência da </w:t>
      </w:r>
      <w:proofErr w:type="spellStart"/>
      <w:r w:rsidRPr="00B63183">
        <w:rPr>
          <w:b/>
        </w:rPr>
        <w:t>majorante</w:t>
      </w:r>
      <w:proofErr w:type="spellEnd"/>
      <w:r w:rsidRPr="00B63183">
        <w:rPr>
          <w:b/>
        </w:rPr>
        <w:t xml:space="preserve"> descrita no art. 157, §2º, inciso I do Código Penal. Medida que se impõe em razão do princípio i</w:t>
      </w:r>
      <w:r w:rsidRPr="00B63183">
        <w:rPr>
          <w:b/>
          <w:i/>
        </w:rPr>
        <w:t>n dubio pro reo</w:t>
      </w:r>
      <w:r w:rsidRPr="00B63183">
        <w:rPr>
          <w:b/>
        </w:rPr>
        <w:t>.</w:t>
      </w:r>
    </w:p>
    <w:p w:rsidR="00B63183" w:rsidRPr="00B63183" w:rsidRDefault="00B63183" w:rsidP="00B63183">
      <w:pPr>
        <w:ind w:left="2124"/>
        <w:jc w:val="both"/>
      </w:pPr>
      <w:r w:rsidRPr="00B63183">
        <w:t>Considerando o cancelamento da súmula 174 do STJ que definia que a intimidação feita com arma de brinquedo autorizaria o aumento da pena, conforme prevê o art. 157, §2º, inciso I do Código Penal;</w:t>
      </w:r>
    </w:p>
    <w:p w:rsidR="00B63183" w:rsidRPr="00B63183" w:rsidRDefault="00B63183" w:rsidP="00B63183">
      <w:pPr>
        <w:ind w:left="2124"/>
        <w:jc w:val="both"/>
      </w:pPr>
      <w:r w:rsidRPr="00B63183">
        <w:t>Considerando que, à luz dos princípios que regem o sistema acusatório, incumbe ao órgão acusador comprovar o efetivo emprego de arma, assim como a sua potencialidade lesiva;</w:t>
      </w:r>
    </w:p>
    <w:p w:rsidR="00B63183" w:rsidRPr="00B63183" w:rsidRDefault="00B63183" w:rsidP="00B63183">
      <w:pPr>
        <w:ind w:left="2124"/>
        <w:jc w:val="both"/>
      </w:pPr>
      <w:r w:rsidRPr="00B63183">
        <w:rPr>
          <w:u w:val="single"/>
        </w:rPr>
        <w:t>Recomenda-se</w:t>
      </w:r>
      <w:r w:rsidRPr="00B63183">
        <w:t xml:space="preserve"> que, na atuação em defesa criminal nos crimes de roubo, seja pleiteada a exclusão da causa de aumento do art. 157, §2º, I do CP, quando a arma não houver sido apreendida, periciada e devidamente comprovada a sua potencialidade lesiva.</w:t>
      </w:r>
    </w:p>
    <w:p w:rsidR="00B63183" w:rsidRPr="00B63183" w:rsidRDefault="00B63183" w:rsidP="00B63183">
      <w:pPr>
        <w:ind w:left="2124"/>
        <w:jc w:val="both"/>
      </w:pPr>
    </w:p>
    <w:p w:rsidR="00B63183" w:rsidRPr="00B63183" w:rsidRDefault="00B63183" w:rsidP="00B63183">
      <w:pPr>
        <w:ind w:left="2124"/>
        <w:jc w:val="both"/>
      </w:pPr>
      <w:r w:rsidRPr="00B63183">
        <w:rPr>
          <w:b/>
          <w:u w:val="single"/>
        </w:rPr>
        <w:t>Enunciado 02</w:t>
      </w:r>
      <w:r w:rsidRPr="00B63183">
        <w:rPr>
          <w:b/>
        </w:rPr>
        <w:t xml:space="preserve"> – Ementa. Prisão preventiva. Regime mais gravoso do que o acusado seria submetido, em caso de condenação. Necessidade de relaxamento da prisão, face à desproporcionalidade da medida. </w:t>
      </w:r>
    </w:p>
    <w:p w:rsidR="00B63183" w:rsidRPr="00B63183" w:rsidRDefault="00B63183" w:rsidP="00B63183">
      <w:pPr>
        <w:ind w:left="2124"/>
        <w:jc w:val="both"/>
      </w:pPr>
      <w:r w:rsidRPr="00B63183">
        <w:lastRenderedPageBreak/>
        <w:t>Considerando o princípio da presunção de inocência, que tem como decorrência a excepcionalidade da prisão decretada antes do trânsito em julgado de sentença condenatória;</w:t>
      </w:r>
    </w:p>
    <w:p w:rsidR="00B63183" w:rsidRPr="00B63183" w:rsidRDefault="00B63183" w:rsidP="00B63183">
      <w:pPr>
        <w:ind w:left="2124"/>
        <w:jc w:val="both"/>
      </w:pPr>
      <w:r w:rsidRPr="00B63183">
        <w:t>Considerando os princípios da razoabilidade e proporcionalidade, que regem a aplicação de qualquer medida cautelar no curso do processo;</w:t>
      </w:r>
    </w:p>
    <w:p w:rsidR="00B63183" w:rsidRPr="00B63183" w:rsidRDefault="00B63183" w:rsidP="00B63183">
      <w:pPr>
        <w:ind w:left="2124"/>
        <w:jc w:val="both"/>
      </w:pPr>
      <w:r w:rsidRPr="00B63183">
        <w:t xml:space="preserve">Considerando o princípio da homogeneidade das prisões cautelares, segundo o qual </w:t>
      </w:r>
      <w:r w:rsidRPr="00B63183">
        <w:rPr>
          <w:spacing w:val="2"/>
          <w:shd w:val="clear" w:color="auto" w:fill="FFFFFF"/>
        </w:rPr>
        <w:t>não se mostra razoável manter alguém preso cautelarmente em regime mais gravoso do que aquele que, ao final do processo, será eventualmente imposto;</w:t>
      </w:r>
    </w:p>
    <w:p w:rsidR="00B63183" w:rsidRPr="00B63183" w:rsidRDefault="00B63183" w:rsidP="00B63183">
      <w:pPr>
        <w:ind w:left="2124"/>
        <w:jc w:val="both"/>
      </w:pPr>
      <w:r w:rsidRPr="00B63183">
        <w:rPr>
          <w:u w:val="single"/>
        </w:rPr>
        <w:t>Recomenda-se</w:t>
      </w:r>
      <w:r w:rsidRPr="00B63183">
        <w:t xml:space="preserve"> que, na atuação em defesa criminal, seja pleiteado o relaxamento da prisão preventiva quando for constatado que, em eventual condenação, o acusado seria submetido a regime menos gravoso do que aquele que ele vem cumprindo, em decorrência da prisão cautelar.</w:t>
      </w:r>
    </w:p>
    <w:p w:rsidR="00000A6E" w:rsidRDefault="00000A6E" w:rsidP="000B1DC9">
      <w:pPr>
        <w:jc w:val="both"/>
      </w:pPr>
    </w:p>
    <w:p w:rsidR="00C36E5F" w:rsidRDefault="00C36E5F" w:rsidP="000B1DC9">
      <w:pPr>
        <w:jc w:val="both"/>
      </w:pPr>
      <w:r>
        <w:t>Art. 2° Esta Resolução entra em vigor na data de sua publicação.</w:t>
      </w:r>
    </w:p>
    <w:p w:rsidR="004C780D" w:rsidRPr="00824705" w:rsidRDefault="004C780D" w:rsidP="00C66093">
      <w:pPr>
        <w:jc w:val="both"/>
      </w:pPr>
    </w:p>
    <w:p w:rsidR="009B0F93" w:rsidRPr="00824705" w:rsidRDefault="00DC17D3">
      <w:pPr>
        <w:jc w:val="both"/>
      </w:pPr>
      <w:r w:rsidRPr="00824705">
        <w:t>Sala de reuniões do Conselho Superior da Defens</w:t>
      </w:r>
      <w:r w:rsidR="009730D4">
        <w:t xml:space="preserve">oria Pública do Estado, aos </w:t>
      </w:r>
      <w:r w:rsidR="00B63183">
        <w:t>vinte e um</w:t>
      </w:r>
      <w:r w:rsidRPr="00824705">
        <w:t xml:space="preserve"> dias do mês de </w:t>
      </w:r>
      <w:r w:rsidR="00C36E5F">
        <w:t>agosto</w:t>
      </w:r>
      <w:r w:rsidR="009730D4">
        <w:t xml:space="preserve"> </w:t>
      </w:r>
      <w:r w:rsidRPr="00824705">
        <w:t xml:space="preserve">do ano de dois mil e dezessete. </w:t>
      </w:r>
    </w:p>
    <w:p w:rsidR="009B0F93" w:rsidRDefault="009B0F93">
      <w:pPr>
        <w:jc w:val="both"/>
      </w:pPr>
    </w:p>
    <w:p w:rsidR="00523BDB" w:rsidRPr="00824705" w:rsidRDefault="00523BDB">
      <w:pPr>
        <w:jc w:val="both"/>
      </w:pPr>
    </w:p>
    <w:p w:rsidR="00B63183" w:rsidRPr="003D1F26" w:rsidRDefault="00B63183" w:rsidP="00B63183">
      <w:pPr>
        <w:jc w:val="both"/>
        <w:rPr>
          <w:color w:val="000000"/>
        </w:rPr>
      </w:pPr>
      <w:r w:rsidRPr="003D1F26">
        <w:rPr>
          <w:color w:val="000000"/>
        </w:rPr>
        <w:t>VLADIMIR AUGUSTO DE</w:t>
      </w:r>
      <w:r>
        <w:rPr>
          <w:color w:val="000000"/>
        </w:rPr>
        <w:t xml:space="preserve"> CARVALHO LOBO E AVELINO KOENIG</w:t>
      </w:r>
    </w:p>
    <w:p w:rsidR="00B63183" w:rsidRDefault="00B63183" w:rsidP="00B63183">
      <w:pPr>
        <w:jc w:val="both"/>
        <w:rPr>
          <w:color w:val="000000"/>
        </w:rPr>
      </w:pPr>
      <w:r>
        <w:rPr>
          <w:color w:val="000000"/>
        </w:rPr>
        <w:t>Presidente do Conselho Superior, em exercício</w:t>
      </w:r>
    </w:p>
    <w:p w:rsidR="00B63183" w:rsidRPr="003D1F26" w:rsidRDefault="00B63183" w:rsidP="00B63183">
      <w:pPr>
        <w:jc w:val="both"/>
        <w:rPr>
          <w:color w:val="000000"/>
        </w:rPr>
      </w:pPr>
      <w:r w:rsidRPr="003D1F26">
        <w:rPr>
          <w:color w:val="000000"/>
        </w:rPr>
        <w:t>Subdefensor Público Geral</w:t>
      </w:r>
    </w:p>
    <w:p w:rsidR="00B63183" w:rsidRDefault="00B63183" w:rsidP="00B63183">
      <w:pPr>
        <w:jc w:val="both"/>
        <w:rPr>
          <w:color w:val="000000"/>
        </w:rPr>
      </w:pPr>
      <w:r>
        <w:rPr>
          <w:color w:val="000000"/>
        </w:rPr>
        <w:t>Membro Nato</w:t>
      </w:r>
    </w:p>
    <w:p w:rsidR="00B63183" w:rsidRDefault="00B63183" w:rsidP="00B63183">
      <w:pPr>
        <w:jc w:val="both"/>
        <w:rPr>
          <w:color w:val="000000"/>
        </w:rPr>
      </w:pPr>
    </w:p>
    <w:p w:rsidR="00B63183" w:rsidRPr="003D1F26" w:rsidRDefault="00B63183" w:rsidP="00B63183">
      <w:pPr>
        <w:jc w:val="both"/>
        <w:rPr>
          <w:color w:val="000000"/>
        </w:rPr>
      </w:pPr>
    </w:p>
    <w:p w:rsidR="00B63183" w:rsidRPr="003D1F26" w:rsidRDefault="00B63183" w:rsidP="00B63183">
      <w:pPr>
        <w:jc w:val="both"/>
        <w:rPr>
          <w:color w:val="000000"/>
        </w:rPr>
      </w:pPr>
      <w:r w:rsidRPr="003D1F26">
        <w:rPr>
          <w:color w:val="000000"/>
        </w:rPr>
        <w:t>ANTÔNIO CARLOS DE ANDRADE MONTEIRO</w:t>
      </w:r>
    </w:p>
    <w:p w:rsidR="00B63183" w:rsidRPr="003D1F26" w:rsidRDefault="00B63183" w:rsidP="00B63183">
      <w:pPr>
        <w:jc w:val="both"/>
        <w:rPr>
          <w:color w:val="000000"/>
        </w:rPr>
      </w:pPr>
      <w:r w:rsidRPr="003D1F26">
        <w:rPr>
          <w:color w:val="000000"/>
        </w:rPr>
        <w:t>Corregedor Geral</w:t>
      </w:r>
    </w:p>
    <w:p w:rsidR="00B63183" w:rsidRPr="003D1F26" w:rsidRDefault="00B63183" w:rsidP="00B63183">
      <w:pPr>
        <w:jc w:val="both"/>
        <w:rPr>
          <w:color w:val="000000"/>
        </w:rPr>
      </w:pPr>
      <w:r w:rsidRPr="003D1F26">
        <w:rPr>
          <w:color w:val="000000"/>
        </w:rPr>
        <w:t>Membro Nato</w:t>
      </w: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JOSÉ ROBERTO DA COSTA MARTINS</w:t>
      </w: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Pr="003D1F26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ARTHUR CORRÊA DA SILVA NETO</w:t>
      </w: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Pr="003D1F26" w:rsidRDefault="00B63183" w:rsidP="00B63183">
      <w:pPr>
        <w:pStyle w:val="western"/>
        <w:spacing w:before="0" w:after="0"/>
        <w:jc w:val="both"/>
        <w:rPr>
          <w:color w:val="000000"/>
        </w:rPr>
      </w:pPr>
      <w:r w:rsidRPr="003D1F26">
        <w:rPr>
          <w:color w:val="000000"/>
        </w:rPr>
        <w:t>FERNANDO ALBUQUERQUE DE OLIVEIRA</w:t>
      </w: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  <w:r w:rsidRPr="003D1F26">
        <w:rPr>
          <w:color w:val="000000"/>
        </w:rPr>
        <w:t>Membro Titular</w:t>
      </w: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</w:p>
    <w:p w:rsidR="00B63183" w:rsidRDefault="00B63183" w:rsidP="00B63183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MARCO AURÉLIO VELLOZO GUTERRES</w:t>
      </w:r>
    </w:p>
    <w:p w:rsidR="00B63183" w:rsidRPr="003D1F26" w:rsidRDefault="00B63183" w:rsidP="00B63183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B63183" w:rsidRPr="003D1F26" w:rsidRDefault="00B63183" w:rsidP="00B63183">
      <w:pPr>
        <w:pStyle w:val="western"/>
        <w:spacing w:before="0" w:after="0"/>
        <w:jc w:val="both"/>
      </w:pPr>
    </w:p>
    <w:p w:rsidR="00B63183" w:rsidRPr="003D1F26" w:rsidRDefault="00B63183" w:rsidP="00B63183">
      <w:pPr>
        <w:pStyle w:val="western"/>
        <w:spacing w:before="0" w:after="0"/>
        <w:jc w:val="both"/>
      </w:pPr>
    </w:p>
    <w:p w:rsidR="003C0F42" w:rsidRDefault="003C0F42" w:rsidP="00B63183">
      <w:pPr>
        <w:pStyle w:val="western"/>
        <w:spacing w:before="0" w:after="0"/>
        <w:jc w:val="both"/>
      </w:pPr>
    </w:p>
    <w:p w:rsidR="00B63183" w:rsidRPr="003D1F26" w:rsidRDefault="00B63183" w:rsidP="00B63183">
      <w:pPr>
        <w:pStyle w:val="western"/>
        <w:spacing w:before="0" w:after="0"/>
        <w:jc w:val="both"/>
      </w:pPr>
      <w:r w:rsidRPr="003D1F26">
        <w:t>FRANCISCO ROBÉRIO CAVALCANTE PINHEIRO FILHO</w:t>
      </w:r>
    </w:p>
    <w:p w:rsidR="00B63183" w:rsidRPr="003D1F26" w:rsidRDefault="00B63183" w:rsidP="00B63183">
      <w:pPr>
        <w:pStyle w:val="western"/>
        <w:spacing w:before="0" w:after="0"/>
        <w:jc w:val="both"/>
      </w:pPr>
      <w:r w:rsidRPr="003D1F26">
        <w:t>Membro Titular</w:t>
      </w:r>
    </w:p>
    <w:p w:rsidR="00B63183" w:rsidRPr="003D1F26" w:rsidRDefault="00B63183" w:rsidP="00B63183">
      <w:pPr>
        <w:pStyle w:val="western"/>
        <w:spacing w:before="0" w:after="0"/>
        <w:jc w:val="both"/>
      </w:pPr>
    </w:p>
    <w:p w:rsidR="00B63183" w:rsidRPr="003D1F26" w:rsidRDefault="00B63183" w:rsidP="00B63183">
      <w:pPr>
        <w:pStyle w:val="western"/>
        <w:spacing w:before="0" w:after="0"/>
        <w:jc w:val="both"/>
      </w:pPr>
    </w:p>
    <w:p w:rsidR="00B63183" w:rsidRPr="003D1F26" w:rsidRDefault="00B63183" w:rsidP="00B63183">
      <w:pPr>
        <w:pStyle w:val="western"/>
        <w:spacing w:before="0" w:after="0"/>
        <w:jc w:val="both"/>
      </w:pPr>
      <w:r w:rsidRPr="003D1F26">
        <w:t>WALTER AUGUSTO BARRETO TEIXEIRA</w:t>
      </w:r>
    </w:p>
    <w:p w:rsidR="00B63183" w:rsidRPr="003D1F26" w:rsidRDefault="00B63183" w:rsidP="00B63183">
      <w:pPr>
        <w:pStyle w:val="western"/>
        <w:spacing w:before="0" w:after="0"/>
        <w:jc w:val="both"/>
        <w:rPr>
          <w:bCs/>
          <w:color w:val="000000"/>
        </w:rPr>
      </w:pPr>
      <w:r w:rsidRPr="003D1F26">
        <w:t>Membro Titular</w:t>
      </w:r>
    </w:p>
    <w:p w:rsidR="009B0F93" w:rsidRPr="00523BDB" w:rsidRDefault="009B0F93" w:rsidP="000B1DC9">
      <w:pPr>
        <w:jc w:val="both"/>
        <w:rPr>
          <w:bCs/>
          <w:color w:val="000000"/>
        </w:rPr>
      </w:pPr>
    </w:p>
    <w:sectPr w:rsidR="009B0F93" w:rsidRPr="00523BDB" w:rsidSect="003C0F42">
      <w:headerReference w:type="default" r:id="rId7"/>
      <w:pgSz w:w="11906" w:h="16838"/>
      <w:pgMar w:top="1134" w:right="1191" w:bottom="1077" w:left="170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B" w:rsidRDefault="00DC17D3">
      <w:r>
        <w:separator/>
      </w:r>
    </w:p>
  </w:endnote>
  <w:endnote w:type="continuationSeparator" w:id="0">
    <w:p w:rsidR="00A9615B" w:rsidRDefault="00D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B" w:rsidRDefault="00DC17D3">
      <w:r>
        <w:separator/>
      </w:r>
    </w:p>
  </w:footnote>
  <w:footnote w:type="continuationSeparator" w:id="0">
    <w:p w:rsidR="00A9615B" w:rsidRDefault="00D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F93" w:rsidRPr="003C0F42" w:rsidRDefault="00DC17D3">
    <w:pPr>
      <w:pStyle w:val="Cabealho"/>
      <w:jc w:val="center"/>
      <w:rPr>
        <w:b/>
        <w:sz w:val="22"/>
        <w:szCs w:val="22"/>
      </w:rPr>
    </w:pPr>
    <w:r w:rsidRPr="003C0F42">
      <w:rPr>
        <w:b/>
        <w:sz w:val="22"/>
        <w:szCs w:val="22"/>
      </w:rPr>
      <w:t>ESTADO DO PARÁ</w:t>
    </w:r>
  </w:p>
  <w:p w:rsidR="009B0F93" w:rsidRPr="003C0F42" w:rsidRDefault="00DC17D3">
    <w:pPr>
      <w:pStyle w:val="Cabealho"/>
      <w:jc w:val="center"/>
      <w:rPr>
        <w:b/>
        <w:sz w:val="22"/>
        <w:szCs w:val="22"/>
      </w:rPr>
    </w:pPr>
    <w:r w:rsidRPr="003C0F42">
      <w:rPr>
        <w:b/>
        <w:sz w:val="22"/>
        <w:szCs w:val="22"/>
      </w:rPr>
      <w:t>DEFENSORIA PÚBLICA</w:t>
    </w:r>
  </w:p>
  <w:p w:rsidR="009B0F93" w:rsidRPr="003C0F42" w:rsidRDefault="00DC17D3">
    <w:pPr>
      <w:pStyle w:val="Cabealho"/>
      <w:jc w:val="center"/>
      <w:rPr>
        <w:b/>
        <w:sz w:val="22"/>
        <w:szCs w:val="22"/>
      </w:rPr>
    </w:pPr>
    <w:r w:rsidRPr="003C0F42">
      <w:rPr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00A6E"/>
    <w:rsid w:val="000660B7"/>
    <w:rsid w:val="000B1DC9"/>
    <w:rsid w:val="00105513"/>
    <w:rsid w:val="0014267B"/>
    <w:rsid w:val="001472A7"/>
    <w:rsid w:val="0015147C"/>
    <w:rsid w:val="00153D2B"/>
    <w:rsid w:val="00176355"/>
    <w:rsid w:val="00210849"/>
    <w:rsid w:val="0023663D"/>
    <w:rsid w:val="002C7B5C"/>
    <w:rsid w:val="002E43CB"/>
    <w:rsid w:val="0037047B"/>
    <w:rsid w:val="00392FA4"/>
    <w:rsid w:val="003C0F42"/>
    <w:rsid w:val="00402662"/>
    <w:rsid w:val="004310BC"/>
    <w:rsid w:val="0044506E"/>
    <w:rsid w:val="00491D44"/>
    <w:rsid w:val="004C7086"/>
    <w:rsid w:val="004C780D"/>
    <w:rsid w:val="005165EF"/>
    <w:rsid w:val="00523BDB"/>
    <w:rsid w:val="005916DC"/>
    <w:rsid w:val="00672A54"/>
    <w:rsid w:val="00727A57"/>
    <w:rsid w:val="00764A16"/>
    <w:rsid w:val="007B1473"/>
    <w:rsid w:val="007E5E4E"/>
    <w:rsid w:val="00824705"/>
    <w:rsid w:val="00846250"/>
    <w:rsid w:val="009730D4"/>
    <w:rsid w:val="009A2B51"/>
    <w:rsid w:val="009B0F93"/>
    <w:rsid w:val="009C0247"/>
    <w:rsid w:val="00A27546"/>
    <w:rsid w:val="00A55800"/>
    <w:rsid w:val="00A9615B"/>
    <w:rsid w:val="00AC6724"/>
    <w:rsid w:val="00AD26ED"/>
    <w:rsid w:val="00AD5AA8"/>
    <w:rsid w:val="00B63183"/>
    <w:rsid w:val="00BB097F"/>
    <w:rsid w:val="00BC592D"/>
    <w:rsid w:val="00C36E5F"/>
    <w:rsid w:val="00C61E79"/>
    <w:rsid w:val="00C66093"/>
    <w:rsid w:val="00CD3C93"/>
    <w:rsid w:val="00D0007A"/>
    <w:rsid w:val="00D2620D"/>
    <w:rsid w:val="00DB2C5C"/>
    <w:rsid w:val="00DC17D3"/>
    <w:rsid w:val="00EE5E33"/>
    <w:rsid w:val="00EF2C8A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F349-67F7-4416-A4BB-08829285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6D2B-A4B1-4315-9776-8381B4D2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4</cp:revision>
  <cp:lastPrinted>2017-10-03T19:01:00Z</cp:lastPrinted>
  <dcterms:created xsi:type="dcterms:W3CDTF">2017-10-03T12:47:00Z</dcterms:created>
  <dcterms:modified xsi:type="dcterms:W3CDTF">2017-10-03T19:04:00Z</dcterms:modified>
  <dc:language>pt-BR</dc:language>
</cp:coreProperties>
</file>